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200"/>
      </w:pPr>
    </w:p>
    <w:p>
      <w:pPr>
        <w:spacing w:after="40"/>
      </w:pPr>
      <w:r>
        <w:rPr>
          <w:b/>
          <w:bCs/>
          <w:color w:val="1592CB"/>
          <w:spacing w:val="60"/>
          <w:sz w:val="26"/>
          <w:szCs w:val="26"/>
        </w:rPr>
        <w:t xml:space="preserve">USP GROUP LIMITED</w:t>
      </w:r>
    </w:p>
    <w:p>
      <w:pPr>
        <w:spacing w:after="0"/>
      </w:pPr>
      <w:r>
        <w:rPr>
          <w:b/>
          <w:bCs/>
          <w:color w:val="021539"/>
          <w:sz w:val="64"/>
          <w:szCs w:val="64"/>
        </w:rPr>
        <w:t xml:space="preserve">Reference Benchmarks</w:t>
      </w:r>
    </w:p>
    <w:p>
      <w:pPr>
        <w:spacing w:after="240"/>
      </w:pPr>
      <w:r>
        <w:rPr>
          <w:b/>
          <w:bCs/>
          <w:color w:val="021539"/>
          <w:sz w:val="38"/>
          <w:szCs w:val="38"/>
        </w:rPr>
        <w:t xml:space="preserve">Appendix to the Website Build Specification</w:t>
      </w:r>
    </w:p>
    <w:p>
      <w:pPr>
        <w:pBdr>
          <w:bottom w:val="single" w:color="02CCEB" w:sz="12" w:space="1"/>
        </w:pBdr>
        <w:spacing w:after="160" w:before="40"/>
      </w:pPr>
      <w:r>
        <w:t xml:space="preserve"/>
      </w:r>
    </w:p>
    <w:p>
      <w:pPr>
        <w:spacing w:after="120" w:line="276"/>
      </w:pPr>
      <w:r>
        <w:rPr>
          <w:i/>
          <w:iCs/>
          <w:color w:val="44506A"/>
          <w:sz w:val="24"/>
          <w:szCs w:val="24"/>
        </w:rPr>
        <w:t xml:space="preserve">World-class websites to study before building — with specific guidance on what to take from each, and what to deliberately leave behind.</w:t>
      </w:r>
    </w:p>
    <w:p>
      <w:pPr>
        <w:spacing w:before="10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02CCEB" w:sz="24"/>
              <w:bottom w:val="single" w:color="D5DCE5" w:sz="1"/>
              <w:right w:val="single" w:color="D5DCE5" w:sz="1"/>
            </w:tcBorders>
            <w:shd w:fill="EEF3F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021539"/>
                <w:sz w:val="21"/>
                <w:szCs w:val="21"/>
              </w:rPr>
              <w:t xml:space="preserve">How to use this appendix</w:t>
            </w:r>
          </w:p>
          <w:p>
            <w:pPr>
              <w:spacing w:after="60" w:line="264"/>
            </w:pPr>
            <w:r>
              <w:rPr>
                <w:b/>
                <w:bCs/>
                <w:color w:val="1E7B4F"/>
              </w:rPr>
              <w:t xml:space="preserve">TAKE </w:t>
            </w:r>
            <w:r>
              <w:t xml:space="preserve">marks a pattern worth adopting. </w:t>
            </w:r>
            <w:r>
              <w:rPr>
                <w:b/>
                <w:bCs/>
                <w:color w:val="B06A00"/>
              </w:rPr>
              <w:t xml:space="preserve">IGNORE </w:t>
            </w:r>
            <w:r>
              <w:t xml:space="preserve">marks something specific to that company that would be wrong for the Group — scale, sector, or risk profile we don’t share.</w:t>
            </w:r>
          </w:p>
          <w:p>
            <w:pPr>
              <w:spacing w:after="60" w:line="264"/>
            </w:pPr>
            <w:r>
              <w:rPr>
                <w:b/>
                <w:bCs/>
              </w:rPr>
              <w:t xml:space="preserve">Verify before referencing. </w:t>
            </w:r>
            <w:r>
              <w:t xml:space="preserve">These notes are from general knowledge and these sites are redesigned often. The developer must open the current live version of each before locking it as a reference. The underlying pattern matters more than any one site’s present state.</w:t>
            </w:r>
          </w:p>
          <w:p>
            <w:pPr>
              <w:spacing w:after="60" w:line="264"/>
            </w:pPr>
            <w:r>
              <w:rPr>
                <w:b/>
                <w:bCs/>
              </w:rPr>
              <w:t xml:space="preserve">The thread that connects them all: </w:t>
            </w:r>
            <w:r>
              <w:t xml:space="preserve">a heritage group in transformation, with disclosure-first investor relations, told with institutional restraint.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1. Closest Structural Peers — SGX Industrial / Holding Groups</w:t>
      </w:r>
    </w:p>
    <w:p>
      <w:pPr>
        <w:spacing w:after="120" w:line="276"/>
      </w:pPr>
      <w:r>
        <w:t xml:space="preserve">These are the truest comparators: listed Singapore groups with a heritage operating core and multiple businesses under one identity. The problem they solve — making a multi-business group feel like a single coherent entity — is exactly your three-pillar problem. Start here.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ST Engineering</w:t>
            </w:r>
            <w:r>
              <w:rPr>
                <w:color w:val="1592CB"/>
                <w:sz w:val="19"/>
                <w:szCs w:val="19"/>
              </w:rPr>
              <w:t xml:space="preserve">   stengg.com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The benchmark for a multi-segment SGX group under one brand.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distinct business segments live under one identity without the site feeling fragmented — your model for Distribution / AI / RWA.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Clear segment landing pages that each stand alone yet ladder up to a single group story.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Confident, understated group-level messaging that leads with capability, not adjectives.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Their defence/aerospace scale and global footprint — do not try to match their breadth of content; you want focus, not volume.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Keppel</w:t>
            </w:r>
            <w:r>
              <w:rPr>
                <w:color w:val="1592CB"/>
                <w:sz w:val="19"/>
                <w:szCs w:val="19"/>
              </w:rPr>
              <w:t xml:space="preserve">   keppel.com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The reference for a heritage group telling a credible transformation story.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they reframed an old-economy conglomerate around a forward thesis (sustainability/infrastructure) — directly analogous to your distribution-to-AI arc.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The ‘who we are becoming’ narrative sitting comfortably alongside ‘who we have always been’.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Heavy sustainability-led positioning — relevant later, but your near-term story is transformation + disclosure, not ESG leadership.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Sembcorp Industries</w:t>
            </w:r>
            <w:r>
              <w:rPr>
                <w:color w:val="1592CB"/>
                <w:sz w:val="19"/>
                <w:szCs w:val="19"/>
              </w:rPr>
              <w:t xml:space="preserve">   sembcorp.com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Another transformation story with a disciplined, well-organised IR section.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Tight, scannable IR architecture — a good structural model for your announcements and results archive.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Restrained visual language appropriate to a serious listed issuer.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Energy-transition framing is theirs, not yours — borrow the structure, not the subject matter.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Jardine Matheson / Jardine Cycle &amp; Carriage</w:t>
            </w:r>
            <w:r>
              <w:rPr>
                <w:color w:val="1592CB"/>
                <w:sz w:val="19"/>
                <w:szCs w:val="19"/>
              </w:rPr>
              <w:t xml:space="preserve">   jardines.com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Old-economy conglomerate gravitas — the ‘heritage and trust’ register.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long-established trust is conveyed through tone and restraint rather than flashy design.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Group-over-subsidiary architecture for a diversified holding company.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Their understatement can tip into dated/sparse — you want heritage credibility with a clearly modern, accessible build.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2. Investor Relations — The Spine of Your Site</w:t>
      </w:r>
    </w:p>
    <w:p>
      <w:pPr>
        <w:spacing w:after="120" w:line="276"/>
      </w:pPr>
      <w:r>
        <w:t xml:space="preserve">Coming out of Judicial Management, your credibility is won or lost in the IR section. These are the strongest IR builds to study for structure, disclosure discipline, and findability.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DBS</w:t>
            </w:r>
            <w:r>
              <w:rPr>
                <w:color w:val="1592CB"/>
                <w:sz w:val="19"/>
                <w:szCs w:val="19"/>
              </w:rPr>
              <w:t xml:space="preserve">   dbs.com/investors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Arguably the best IR section of any Singapore-listed company.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Announcement architecture — how filings are categorised, dated, filtered, and made findable.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Disclosure-first discipline: regulatory information is front and centre, never buried beneath marketing.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Clean share-information and results presentation that an institutional investor can navigate in seconds.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Bank-grade product/retail content and login ecosystem — out of scope; study only the IR pages.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CapitaLand Investment / Singtel</w:t>
            </w:r>
            <w:r>
              <w:rPr>
                <w:color w:val="1592CB"/>
                <w:sz w:val="19"/>
                <w:szCs w:val="19"/>
              </w:rPr>
              <w:t xml:space="preserve">   capitalandinvest.com · singtel.com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Deep, well-organised IR archives worth copying structurally.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Multi-year results and report archives that stay clean as they grow — a model for your document library.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Email-alert and IR-contact patterns done simply and accessibly.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Their content depth reflects years of filings; build the structure now and let yours fill in over time.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1592CB" w:sz="24"/>
              <w:bottom w:val="single" w:color="D5DCE5" w:sz="1"/>
              <w:right w:val="single" w:color="D5DCE5" w:sz="1"/>
            </w:tcBorders>
            <w:shd w:fill="EEF3F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021539"/>
                <w:sz w:val="21"/>
                <w:szCs w:val="21"/>
              </w:rPr>
              <w:t xml:space="preserve">Apply your own rule here</w:t>
            </w:r>
          </w:p>
          <w:p>
            <w:pPr>
              <w:spacing w:after="60" w:line="264"/>
            </w:pPr>
            <w:r>
              <w:t xml:space="preserve">None of these should tempt the developer to publish marketing or PR ahead of SGXNet. Use these as structural references for </w:t>
            </w:r>
            <w:r>
              <w:rPr>
                <w:i/>
                <w:iCs/>
              </w:rPr>
              <w:t xml:space="preserve">how</w:t>
            </w:r>
            <w:r>
              <w:t xml:space="preserve"> disclosure is organised — your disclosure-first sequencing rule (spec §5.2 / §7.1) still governs </w:t>
            </w:r>
            <w:r>
              <w:rPr>
                <w:i/>
                <w:iCs/>
              </w:rPr>
              <w:t xml:space="preserve">when</w:t>
            </w:r>
            <w:r>
              <w:t xml:space="preserve"> anything is published.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Dual-Market / Nasdaq-Ready References</w:t>
      </w:r>
    </w:p>
    <w:p>
      <w:pPr>
        <w:spacing w:after="120" w:line="276"/>
      </w:pPr>
      <w:r>
        <w:t xml:space="preserve">For the SGX–Nasdaq ambition, study how Southeast Asian companies present themselves to US investors — a more metrics-forward, investor-aggressive IR register than the SGX norm. This is the layer your architecture must be ready to add later (spec §9).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Sea Limited</w:t>
            </w:r>
            <w:r>
              <w:rPr>
                <w:color w:val="1592CB"/>
                <w:sz w:val="19"/>
                <w:szCs w:val="19"/>
              </w:rPr>
              <w:t xml:space="preserve">   sea.com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NYSE-listed, Singapore-founded — what a regional company looks like built for US investors.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US-style IR: SEC filings, quarterly metrics, governance presented to a US-investor standard.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a multi-business group (e-commerce, gaming, fintech) holds together under one investor narrative — again, your pillar problem.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Consumer-tech visual energy and growth-at-all-costs tone — wrong register for a disciplined post-restructuring industrial group.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Grab</w:t>
            </w:r>
            <w:r>
              <w:rPr>
                <w:color w:val="1592CB"/>
                <w:sz w:val="19"/>
                <w:szCs w:val="19"/>
              </w:rPr>
              <w:t xml:space="preserve">   grab.com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Nasdaq-listed regional company — reference for US-facing IR structure.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SEC-style filings and US-format financial information coexist with a regional operating story.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Investor-presentation and governance layouts pitched at US analysts.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Super-app scale and consumer brand voice — take the IR scaffolding, not the personality.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1592CB" w:sz="24"/>
              <w:bottom w:val="single" w:color="D5DCE5" w:sz="1"/>
              <w:right w:val="single" w:color="D5DCE5" w:sz="1"/>
            </w:tcBorders>
            <w:shd w:fill="EEF3F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021539"/>
                <w:sz w:val="21"/>
                <w:szCs w:val="21"/>
              </w:rPr>
              <w:t xml:space="preserve">What to actually copy from this section</w:t>
            </w:r>
          </w:p>
          <w:p>
            <w:pPr>
              <w:spacing w:after="60" w:line="264"/>
            </w:pPr>
            <w:r>
              <w:rPr>
                <w:sz w:val="20"/>
                <w:szCs w:val="20"/>
              </w:rPr>
              <w:t xml:space="preserve">Not the look. The architecture: an IR section that can host SEC-style filings, US-format financials, multi-currency and multi-timezone display, alongside SGXNet — without a rebuild. Build the shell now even if only SGD/SGX is populated at launch.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Design &amp; Brand Register — ‘Quiet Confidence’</w:t>
      </w:r>
    </w:p>
    <w:p>
      <w:pPr>
        <w:spacing w:after="120" w:line="276"/>
      </w:pPr>
      <w:r>
        <w:t xml:space="preserve">For the restrained, navy-dominant, institutional aesthetic your brand guidelines call for — ‘serious money, quiet confidence’. These set the tonal target.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Temasek</w:t>
            </w:r>
            <w:r>
              <w:rPr>
                <w:color w:val="1592CB"/>
                <w:sz w:val="19"/>
                <w:szCs w:val="19"/>
              </w:rPr>
              <w:t xml:space="preserve">   temasek.com.sg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Gravitas paired with a genuinely modern, accessible build — the closest tonal target.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How institutional seriousness coexists with contemporary, accessible design — exactly your brief.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Generous whitespace, disciplined typography, restrained motion.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Storytelling that feels substantial without resorting to hype.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Sovereign-fund scale of editorial content — match the tone and craft, not the volume.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GIC</w:t>
            </w:r>
            <w:r>
              <w:rPr>
                <w:color w:val="1592CB"/>
                <w:sz w:val="19"/>
                <w:szCs w:val="19"/>
              </w:rPr>
              <w:t xml:space="preserve">   gic.com.sg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Understated, text-led, deeply credible.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Confidence through restraint — minimal colour, strong type hierarchy, no decoration for its own sake.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Can read as austere; you want a touch more warmth, and the cyan spark used sparingly per your brand system.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20"/>
            </w:pPr>
            <w:r>
              <w:rPr>
                <w:b/>
                <w:bCs/>
                <w:color w:val="021539"/>
                <w:sz w:val="24"/>
                <w:szCs w:val="24"/>
              </w:rPr>
              <w:t xml:space="preserve">McKinsey &amp; Company</w:t>
            </w:r>
            <w:r>
              <w:rPr>
                <w:color w:val="1592CB"/>
                <w:sz w:val="19"/>
                <w:szCs w:val="19"/>
              </w:rPr>
              <w:t xml:space="preserve">   mckinsey.com</w:t>
            </w:r>
          </w:p>
          <w:p>
            <w:pPr>
              <w:spacing w:after="100"/>
            </w:pPr>
            <w:r>
              <w:rPr>
                <w:i/>
                <w:iCs/>
                <w:color w:val="44506A"/>
                <w:sz w:val="20"/>
                <w:szCs w:val="20"/>
              </w:rPr>
              <w:t xml:space="preserve">Professional-services polish and editorial structure.</w:t>
            </w:r>
          </w:p>
          <w:p>
            <w:pPr>
              <w:spacing w:after="50" w:line="264"/>
            </w:pPr>
            <w:r>
              <w:rPr>
                <w:b/>
                <w:bCs/>
                <w:color w:val="1E7B4F"/>
                <w:sz w:val="18"/>
                <w:szCs w:val="18"/>
              </w:rPr>
              <w:t xml:space="preserve">TAKE  </w:t>
            </w:r>
            <w:r>
              <w:rPr>
                <w:sz w:val="20"/>
                <w:szCs w:val="20"/>
              </w:rPr>
              <w:t xml:space="preserve">Clean content templates, strong typographic rhythm, and how a navy-and-white palette can feel premium.</w:t>
            </w:r>
          </w:p>
          <w:p>
            <w:pPr>
              <w:spacing w:after="50" w:line="264"/>
            </w:pPr>
            <w:r>
              <w:rPr>
                <w:b/>
                <w:bCs/>
                <w:color w:val="B06A00"/>
                <w:sz w:val="18"/>
                <w:szCs w:val="18"/>
              </w:rPr>
              <w:t xml:space="preserve">IGNORE  </w:t>
            </w:r>
            <w:r>
              <w:rPr>
                <w:sz w:val="20"/>
                <w:szCs w:val="20"/>
              </w:rPr>
              <w:t xml:space="preserve">Heavy thought-leadership/content-marketing model — not your purpose; you are a listed issuer, not a publisher.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Summary — One Thing From Each</w:t>
      </w:r>
    </w:p>
    <w:p>
      <w:pPr>
        <w:spacing w:after="120" w:line="276"/>
      </w:pPr>
      <w:r>
        <w:t xml:space="preserve">If the developer takes only a single lesson from each reference, this is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02153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Reference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02153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The one thing to take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ST Engineering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Multi-segment group, one coherent identity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Keppel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Crediblе heritage-to-future transformation narrative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Sembcorp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Tight, scannable IR structure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Jardine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Heritage-and-trust tone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DBS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Best-in-class announcement &amp; disclosure architecture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CapitaLand / Singtel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Archives that stay clean as they grow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Sea Limited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US-investor IR standard for a regional group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Grab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SEC-style filings coexisting with a regional story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Temasek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Gravitas + modern, accessible build (closest target)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GIC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Confidence through restraint</w:t>
            </w:r>
          </w:p>
        </w:tc>
      </w:tr>
      <w:tr>
        <w:tc>
          <w:tcPr>
            <w:tcW w:type="dxa" w:w="300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McKinsey</w:t>
            </w:r>
          </w:p>
        </w:tc>
        <w:tc>
          <w:tcPr>
            <w:tcW w:type="dxa" w:w="6360"/>
            <w:tcBorders>
              <w:top w:val="single" w:color="D5DCE5" w:sz="1"/>
              <w:left w:val="single" w:color="D5DCE5" w:sz="1"/>
              <w:bottom w:val="single" w:color="D5DCE5" w:sz="1"/>
              <w:right w:val="single" w:color="D5DCE5" w:sz="1"/>
            </w:tcBorders>
            <w:shd w:fill="F4F7FB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sz w:val="19"/>
                <w:szCs w:val="19"/>
              </w:rPr>
              <w:t xml:space="preserve">Premium navy-and-white typographic polish</w:t>
            </w:r>
          </w:p>
        </w:tc>
      </w:tr>
    </w:tbl>
    <w:p>
      <w:pPr>
        <w:spacing w:before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5" w:sz="1"/>
              <w:left w:val="single" w:color="02CCEB" w:sz="24"/>
              <w:bottom w:val="single" w:color="D5DCE5" w:sz="1"/>
              <w:right w:val="single" w:color="D5DCE5" w:sz="1"/>
            </w:tcBorders>
            <w:shd w:fill="EEF3F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021539"/>
                <w:sz w:val="21"/>
                <w:szCs w:val="21"/>
              </w:rPr>
              <w:t xml:space="preserve">The brief in one sentence</w:t>
            </w:r>
          </w:p>
          <w:p>
            <w:pPr>
              <w:spacing w:after="60" w:line="264"/>
            </w:pPr>
            <w:r>
              <w:rPr>
                <w:i/>
                <w:iCs/>
                <w:color w:val="021539"/>
                <w:sz w:val="21"/>
                <w:szCs w:val="21"/>
              </w:rPr>
              <w:t xml:space="preserve">Build the IR discipline of DBS and the structural clarity of ST Engineering, in the restrained register of Temasek, with an architecture ready for the US-investor standard of Sea and Grab — telling Keppel’s kind of transformation story.</w:t>
            </w:r>
          </w:p>
        </w:tc>
      </w:tr>
    </w:tbl>
    <w:p>
      <w:pPr>
        <w:spacing w:before="120"/>
      </w:pPr>
    </w:p>
    <w:p>
      <w:pPr>
        <w:pBdr>
          <w:bottom w:val="single" w:color="02CCEB" w:sz="12" w:space="1"/>
        </w:pBdr>
        <w:spacing w:after="160" w:before="40"/>
      </w:pPr>
      <w:r>
        <w:t xml:space="preserve"/>
      </w:r>
    </w:p>
    <w:p>
      <w:pPr>
        <w:spacing w:after="120" w:line="276"/>
      </w:pPr>
      <w:r>
        <w:rPr>
          <w:i/>
          <w:iCs/>
          <w:color w:val="021539"/>
          <w:sz w:val="21"/>
          <w:szCs w:val="21"/>
        </w:rPr>
        <w:t xml:space="preserve">Reference the pattern, not the pixels. Open each site’s current live version before locking it, and let your own brand system and disclosure rules govern every final decision.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5DCE5" w:sz="4" w:space="6"/>
      </w:pBdr>
      <w:tabs>
        <w:tab w:val="right" w:pos="9360"/>
      </w:tabs>
    </w:pPr>
    <w:r>
      <w:rPr>
        <w:color w:val="8B909B"/>
        <w:sz w:val="16"/>
        <w:szCs w:val="16"/>
      </w:rPr>
      <w:t xml:space="preserve">Confidential · v1.0 · June 2026</w:t>
    </w:r>
    <w:r>
      <w:rPr>
        <w:color w:val="8B909B"/>
        <w:sz w:val="16"/>
        <w:szCs w:val="16"/>
      </w:rPr>
      <w:t xml:space="preserve">	Page </w:t>
    </w:r>
    <w:r>
      <w:rPr>
        <w:color w:val="8B909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B909B"/>
        <w:sz w:val="16"/>
        <w:szCs w:val="16"/>
      </w:rPr>
      <w:t xml:space="preserve"> of </w:t>
    </w:r>
    <w:r>
      <w:rPr>
        <w:color w:val="8B909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5DCE5" w:sz="4" w:space="6"/>
      </w:pBdr>
      <w:tabs>
        <w:tab w:val="right" w:pos="9360"/>
      </w:tabs>
    </w:pPr>
    <w:r>
      <w:rPr>
        <w:b/>
        <w:bCs/>
        <w:color w:val="021539"/>
        <w:spacing w:val="40"/>
        <w:sz w:val="16"/>
        <w:szCs w:val="16"/>
      </w:rPr>
      <w:t xml:space="preserve">USP GROUP LIMITED</w:t>
    </w:r>
    <w:r>
      <w:rPr>
        <w:color w:val="8B909B"/>
        <w:sz w:val="16"/>
        <w:szCs w:val="16"/>
      </w:rPr>
      <w:t xml:space="preserve">	Website Reference Benchmarks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  <w:rPr>
        <w:color w:val="1592CB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592CB" w:sz="6" w:space="4"/>
      </w:pBdr>
      <w:spacing w:after="150" w:before="320"/>
      <w:outlineLvl w:val="0"/>
    </w:pPr>
    <w:rPr>
      <w:rFonts w:ascii="Georgia" w:cs="Georgia" w:eastAsia="Georgia" w:hAnsi="Georgia"/>
      <w:b/>
      <w:bCs/>
      <w:color w:val="02153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Arial" w:cs="Arial" w:eastAsia="Arial" w:hAnsi="Arial"/>
      <w:b/>
      <w:bCs/>
      <w:color w:val="021539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USP Group Limited — Website Reference Benchmarks</dc:title>
  <dc:creator>USP Group Limited</dc:creator>
  <cp:lastModifiedBy>Un-named</cp:lastModifiedBy>
  <cp:revision>1</cp:revision>
  <dcterms:created xsi:type="dcterms:W3CDTF">2026-06-08T22:54:26.483Z</dcterms:created>
  <dcterms:modified xsi:type="dcterms:W3CDTF">2026-06-08T22:54:26.483Z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